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 маркировании применяют следующие технологические приемы: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lastRenderedPageBreak/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 xml:space="preserve"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 w:rsidRPr="00AC4978">
        <w:rPr>
          <w:sz w:val="20"/>
          <w:szCs w:val="20"/>
        </w:rPr>
        <w:t>Tahoma</w:t>
      </w:r>
      <w:proofErr w:type="spellEnd"/>
      <w:r w:rsidRPr="00AC4978">
        <w:rPr>
          <w:sz w:val="20"/>
          <w:szCs w:val="20"/>
        </w:rPr>
        <w:t>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C4978">
        <w:rPr>
          <w:rFonts w:ascii="Tahoma" w:hAnsi="Tahoma" w:cs="Tahoma"/>
          <w:strike/>
          <w:noProof/>
          <w:szCs w:val="28"/>
        </w:rPr>
        <w:drawing>
          <wp:inline distT="0" distB="0" distL="0" distR="0" wp14:anchorId="21A9CC11" wp14:editId="0A0666F8">
            <wp:extent cx="4418965" cy="2495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C4978">
        <w:rPr>
          <w:sz w:val="20"/>
          <w:szCs w:val="20"/>
        </w:rPr>
        <w:t>Рисунок 1 – Форма знака соответствия СДС «СЕРКОНС УП»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537456" w:rsidRPr="00AC4978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537456" w:rsidRDefault="00537456" w:rsidP="00537456"/>
    <w:p w:rsidR="00537456" w:rsidRPr="00AB1379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537456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537456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537456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Форма знака СДС «</w:t>
      </w:r>
      <w:proofErr w:type="spellStart"/>
      <w:r>
        <w:rPr>
          <w:sz w:val="20"/>
          <w:szCs w:val="20"/>
        </w:rPr>
        <w:t>СпортРегистр</w:t>
      </w:r>
      <w:proofErr w:type="spellEnd"/>
      <w:r w:rsidRPr="00AB1379">
        <w:rPr>
          <w:sz w:val="20"/>
          <w:szCs w:val="20"/>
        </w:rPr>
        <w:t xml:space="preserve">» представлены на рисунке </w:t>
      </w:r>
      <w:r>
        <w:rPr>
          <w:sz w:val="20"/>
          <w:szCs w:val="20"/>
        </w:rPr>
        <w:t>2</w:t>
      </w:r>
      <w:r w:rsidRPr="00AB1379">
        <w:rPr>
          <w:sz w:val="20"/>
          <w:szCs w:val="20"/>
        </w:rPr>
        <w:t xml:space="preserve">. </w:t>
      </w:r>
    </w:p>
    <w:p w:rsidR="00537456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center"/>
        <w:rPr>
          <w:sz w:val="20"/>
          <w:szCs w:val="20"/>
        </w:rPr>
      </w:pPr>
      <w:r w:rsidRPr="003C3523">
        <w:rPr>
          <w:noProof/>
          <w:sz w:val="20"/>
          <w:szCs w:val="20"/>
        </w:rPr>
        <w:drawing>
          <wp:inline distT="0" distB="0" distL="0" distR="0" wp14:anchorId="2B3EAB7E" wp14:editId="1E45CC9A">
            <wp:extent cx="1519555" cy="1425039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10" cy="14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6" w:rsidRPr="00AB1379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537456" w:rsidRPr="00AB1379" w:rsidRDefault="00537456" w:rsidP="00537456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2</w:t>
      </w:r>
      <w:r w:rsidRPr="00AB1379">
        <w:rPr>
          <w:sz w:val="20"/>
          <w:szCs w:val="20"/>
        </w:rPr>
        <w:t xml:space="preserve"> – Форма знака соответствия СДС «</w:t>
      </w:r>
      <w:proofErr w:type="spellStart"/>
      <w:r>
        <w:rPr>
          <w:sz w:val="20"/>
          <w:szCs w:val="20"/>
        </w:rPr>
        <w:t>СпортРегистр</w:t>
      </w:r>
      <w:proofErr w:type="spellEnd"/>
      <w:r w:rsidRPr="00AB1379">
        <w:rPr>
          <w:sz w:val="20"/>
          <w:szCs w:val="20"/>
        </w:rPr>
        <w:t>»</w:t>
      </w:r>
    </w:p>
    <w:p w:rsidR="00537456" w:rsidRPr="00AB1379" w:rsidRDefault="00537456" w:rsidP="00537456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Знак системы представляет собой стилизованную текстовую надпись «СР»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AB1379">
        <w:rPr>
          <w:sz w:val="20"/>
          <w:szCs w:val="20"/>
        </w:rPr>
        <w:t>.3 После подтверждения соответствия требованиям технических регламентов Союза заявитель формирует комплект документов на продукцию, в который включает: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документы, предоставленные вместе с заявкой;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протокол (протоколы) испытаний;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результаты анализа состояния производства (в случаях, предусмотренных схемой сертификации);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акт (акты) об идентификации и (или) отборе образцов (проб) продукции;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сертификат соответствия.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Заявитель хранит комплект документов, включая документы, подтверждающие соответствие продукции требованиям Технических регламентов ЕАЭС в течение сроков, установленных в Технических регламентах.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Для Постановления Правительства РФ, добровольной сертификации - Заявитель хранит комплект документов, включая документы, подтверждающие соответствие в течение срока его действия и не менее 5 лет после окончания срока действия сертификата соответствия на работы, услуги. Комплект документов на партию продукции хранится в течение не менее 5 лет со дня реализации последнего изделия из партии сертифицированной продукции, если иное не установлено в нормативных документах.</w:t>
      </w:r>
    </w:p>
    <w:p w:rsidR="00537456" w:rsidRPr="00AB1379" w:rsidRDefault="00537456" w:rsidP="00537456">
      <w:pPr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Комплект документов, подтверждающих соответствие, должен предоставляться органам государственного контроля (надзора) по их требованиям.</w:t>
      </w:r>
    </w:p>
    <w:p w:rsidR="00D503F4" w:rsidRDefault="00D503F4">
      <w:bookmarkStart w:id="0" w:name="_GoBack"/>
      <w:bookmarkEnd w:id="0"/>
    </w:p>
    <w:sectPr w:rsidR="00D5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15"/>
    <w:rsid w:val="00537456"/>
    <w:rsid w:val="007C20A4"/>
    <w:rsid w:val="00B27415"/>
    <w:rsid w:val="00C12F52"/>
    <w:rsid w:val="00D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5830-392C-41D7-B96F-2F779F6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2</cp:revision>
  <dcterms:created xsi:type="dcterms:W3CDTF">2023-05-12T06:53:00Z</dcterms:created>
  <dcterms:modified xsi:type="dcterms:W3CDTF">2023-05-12T06:54:00Z</dcterms:modified>
</cp:coreProperties>
</file>